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9CCCD" w14:textId="0E00F2DE" w:rsidR="0025234B" w:rsidRPr="00EE006E" w:rsidRDefault="003E5091" w:rsidP="0025234B">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8E2EDF">
        <w:rPr>
          <w:b/>
          <w:sz w:val="24"/>
          <w:szCs w:val="24"/>
        </w:rPr>
        <w:t>bis</w:t>
      </w:r>
      <w:r w:rsidR="0025234B">
        <w:rPr>
          <w:b/>
          <w:sz w:val="24"/>
          <w:szCs w:val="24"/>
        </w:rPr>
        <w:t>-e</w:t>
      </w:r>
      <w:r w:rsidR="0025234B" w:rsidRPr="00121C7F">
        <w:rPr>
          <w:rFonts w:hint="eastAsia"/>
          <w:b/>
          <w:sz w:val="24"/>
          <w:szCs w:val="24"/>
          <w:lang w:eastAsia="ko-KR"/>
        </w:rPr>
        <w:tab/>
      </w:r>
      <w:r w:rsidR="003A170E" w:rsidRPr="003A170E">
        <w:rPr>
          <w:b/>
          <w:sz w:val="24"/>
          <w:szCs w:val="24"/>
          <w:lang w:eastAsia="ko-KR"/>
        </w:rPr>
        <w:t>R1-220019</w:t>
      </w:r>
      <w:r w:rsidR="008C4D06">
        <w:rPr>
          <w:b/>
          <w:sz w:val="24"/>
          <w:szCs w:val="24"/>
          <w:lang w:eastAsia="ko-KR"/>
        </w:rPr>
        <w:t>7</w:t>
      </w:r>
      <w:bookmarkStart w:id="2" w:name="_GoBack"/>
      <w:bookmarkEnd w:id="2"/>
    </w:p>
    <w:bookmarkEnd w:id="0"/>
    <w:bookmarkEnd w:id="1"/>
    <w:p w14:paraId="04128E8C" w14:textId="14EAD1A0" w:rsidR="0025234B" w:rsidRDefault="0025234B" w:rsidP="0025234B">
      <w:pPr>
        <w:tabs>
          <w:tab w:val="left" w:pos="1985"/>
        </w:tabs>
        <w:rPr>
          <w:rFonts w:ascii="Arial" w:hAnsi="Arial"/>
          <w:b/>
          <w:bCs/>
          <w:noProof/>
          <w:sz w:val="24"/>
          <w:szCs w:val="24"/>
        </w:rPr>
      </w:pPr>
      <w:r w:rsidRPr="008400A0">
        <w:rPr>
          <w:rFonts w:ascii="Arial" w:hAnsi="Arial"/>
          <w:b/>
          <w:bCs/>
          <w:noProof/>
          <w:sz w:val="24"/>
          <w:szCs w:val="24"/>
        </w:rPr>
        <w:t>e-Meeting,</w:t>
      </w:r>
      <w:r w:rsidR="003E5091">
        <w:rPr>
          <w:rFonts w:ascii="Arial" w:hAnsi="Arial"/>
          <w:b/>
          <w:bCs/>
          <w:noProof/>
          <w:sz w:val="24"/>
          <w:szCs w:val="24"/>
        </w:rPr>
        <w:t xml:space="preserve"> </w:t>
      </w:r>
      <w:r w:rsidR="008E2EDF">
        <w:rPr>
          <w:rFonts w:ascii="Arial" w:hAnsi="Arial"/>
          <w:b/>
          <w:bCs/>
          <w:noProof/>
          <w:sz w:val="24"/>
          <w:szCs w:val="24"/>
        </w:rPr>
        <w:t>January 17th – 25th, 2022</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6E6FE4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E2EDF" w:rsidRPr="0037516D">
        <w:rPr>
          <w:rFonts w:ascii="Arial" w:hAnsi="Arial"/>
          <w:sz w:val="24"/>
        </w:rPr>
        <w:t xml:space="preserve">Maintenance on </w:t>
      </w:r>
      <w:r w:rsidR="008E2EDF">
        <w:rPr>
          <w:rFonts w:ascii="Arial" w:hAnsi="Arial"/>
          <w:sz w:val="24"/>
        </w:rPr>
        <w:t>c</w:t>
      </w:r>
      <w:r w:rsidR="00DD05D5">
        <w:rPr>
          <w:rFonts w:ascii="Arial" w:hAnsi="Arial"/>
          <w:sz w:val="24"/>
        </w:rPr>
        <w:t xml:space="preserve">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D5EBF44" w14:textId="3D1C3F44" w:rsidR="00B049BE" w:rsidRDefault="00C242B3" w:rsidP="00247677">
      <w:pPr>
        <w:spacing w:after="0"/>
        <w:jc w:val="both"/>
        <w:rPr>
          <w:lang w:val="en-US"/>
        </w:rPr>
      </w:pPr>
      <w:r>
        <w:rPr>
          <w:lang w:val="en-US"/>
        </w:rPr>
        <w:t xml:space="preserve">This contribution discusses </w:t>
      </w:r>
      <w:r w:rsidR="008E2EDF">
        <w:rPr>
          <w:lang w:val="en-US"/>
        </w:rPr>
        <w:t>the remaining issues for</w:t>
      </w:r>
      <w:r w:rsidR="00B049BE">
        <w:rPr>
          <w:lang w:val="en-US"/>
        </w:rPr>
        <w:t xml:space="preserve"> </w:t>
      </w:r>
      <w:r w:rsidR="008E2EDF">
        <w:rPr>
          <w:lang w:val="en-US"/>
        </w:rPr>
        <w:t>the channel access procedure</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w:t>
      </w:r>
      <w:r w:rsidR="008E2EDF">
        <w:rPr>
          <w:lang w:eastAsia="x-none"/>
        </w:rPr>
        <w:t>including the following aspects, and the TPs, if needed, associated with the proposals are listed in the appendix:</w:t>
      </w:r>
    </w:p>
    <w:p w14:paraId="09B5F1A9" w14:textId="05295588" w:rsidR="00F66E5C" w:rsidRDefault="00F66E5C" w:rsidP="00B0672A">
      <w:pPr>
        <w:pStyle w:val="ListParagraph"/>
        <w:numPr>
          <w:ilvl w:val="0"/>
          <w:numId w:val="8"/>
        </w:numPr>
        <w:spacing w:after="0"/>
        <w:ind w:leftChars="0"/>
        <w:jc w:val="both"/>
        <w:rPr>
          <w:lang w:val="en-US"/>
        </w:rPr>
      </w:pPr>
      <w:r>
        <w:rPr>
          <w:lang w:val="en-US"/>
        </w:rPr>
        <w:t xml:space="preserve">Remaining </w:t>
      </w:r>
      <w:r w:rsidR="008E2EDF">
        <w:rPr>
          <w:lang w:val="en-US"/>
        </w:rPr>
        <w:t>issues for</w:t>
      </w:r>
      <w:r>
        <w:rPr>
          <w:lang w:val="en-US"/>
        </w:rPr>
        <w:t xml:space="preserve"> LBT mode indication</w:t>
      </w:r>
    </w:p>
    <w:p w14:paraId="5FCFF35B" w14:textId="4C708AB9" w:rsidR="00B07E3C" w:rsidRDefault="008E2EDF" w:rsidP="00B0672A">
      <w:pPr>
        <w:pStyle w:val="ListParagraph"/>
        <w:numPr>
          <w:ilvl w:val="0"/>
          <w:numId w:val="8"/>
        </w:numPr>
        <w:spacing w:after="0"/>
        <w:ind w:leftChars="0"/>
        <w:jc w:val="both"/>
        <w:rPr>
          <w:lang w:val="en-US"/>
        </w:rPr>
      </w:pPr>
      <w:r>
        <w:rPr>
          <w:lang w:val="en-US"/>
        </w:rPr>
        <w:t>Remaining issues for directional LBT in multi-beam scenarios</w:t>
      </w:r>
    </w:p>
    <w:p w14:paraId="0EC28033" w14:textId="77777777" w:rsidR="000C123A" w:rsidRDefault="000C123A" w:rsidP="000C123A">
      <w:pPr>
        <w:pStyle w:val="ListParagraph"/>
        <w:numPr>
          <w:ilvl w:val="0"/>
          <w:numId w:val="8"/>
        </w:numPr>
        <w:spacing w:after="0"/>
        <w:ind w:leftChars="0"/>
        <w:jc w:val="both"/>
        <w:rPr>
          <w:lang w:val="en-US"/>
        </w:rPr>
      </w:pPr>
      <w:r>
        <w:rPr>
          <w:lang w:val="en-US"/>
        </w:rPr>
        <w:t>Remaining issues for short control signalling</w:t>
      </w:r>
    </w:p>
    <w:p w14:paraId="4A765387" w14:textId="31DFEFF4" w:rsidR="008E2EDF" w:rsidRDefault="008E2EDF" w:rsidP="00B0672A">
      <w:pPr>
        <w:pStyle w:val="ListParagraph"/>
        <w:numPr>
          <w:ilvl w:val="0"/>
          <w:numId w:val="8"/>
        </w:numPr>
        <w:spacing w:after="0"/>
        <w:ind w:leftChars="0"/>
        <w:jc w:val="both"/>
        <w:rPr>
          <w:lang w:val="en-US"/>
        </w:rPr>
      </w:pPr>
      <w:r>
        <w:rPr>
          <w:lang w:val="en-US"/>
        </w:rPr>
        <w:t>Remaining issues for RSSI measurement</w:t>
      </w:r>
    </w:p>
    <w:p w14:paraId="7FE7B17B" w14:textId="198248EC" w:rsidR="00A41DE7" w:rsidRDefault="00A41DE7" w:rsidP="00A41D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Remaining issues for LBT mode indication</w:t>
      </w:r>
    </w:p>
    <w:p w14:paraId="7690B2AB" w14:textId="77777777" w:rsidR="00A41DE7" w:rsidRDefault="00A41DE7" w:rsidP="00A41DE7">
      <w:pPr>
        <w:tabs>
          <w:tab w:val="left" w:pos="1300"/>
        </w:tabs>
        <w:jc w:val="both"/>
      </w:pPr>
      <w:r>
        <w:rPr>
          <w:lang w:val="en-US"/>
        </w:rPr>
        <w:t xml:space="preserve">So far, RAN1 has agreed to support both cell-specific and UE-specific indication of LBT/no-LBT mode for a “gNB-UE link”, however, the indication details on how a UE determines the LBT mode are still not clear. In our understanding, the intention for cell-specific indication is to allow indicating a common mode for all nodes within the cell, including both the gNB and serving UEs, and the intention for UE-specific indication is to allow the gNB to further indicate a UE-specific mode to some of the serving UEs when necessary, wherein such UE-specific mode can be different from the cell-specific one. Based on this understanding, we have the following proposal. </w:t>
      </w:r>
    </w:p>
    <w:p w14:paraId="2823350C" w14:textId="10942F7A" w:rsidR="00A41DE7" w:rsidRDefault="00A41DE7" w:rsidP="008208BC">
      <w:pPr>
        <w:tabs>
          <w:tab w:val="left" w:pos="1300"/>
        </w:tabs>
        <w:spacing w:after="0"/>
        <w:jc w:val="both"/>
        <w:rPr>
          <w:b/>
          <w:u w:val="single"/>
        </w:rPr>
      </w:pPr>
      <w:r w:rsidRPr="00C63B00">
        <w:rPr>
          <w:b/>
          <w:u w:val="single"/>
        </w:rPr>
        <w:t xml:space="preserve">Proposal </w:t>
      </w:r>
      <w:r>
        <w:rPr>
          <w:b/>
          <w:u w:val="single"/>
        </w:rPr>
        <w:t>1</w:t>
      </w:r>
      <w:r w:rsidRPr="00C63B00">
        <w:rPr>
          <w:b/>
          <w:u w:val="single"/>
        </w:rPr>
        <w:t>:</w:t>
      </w:r>
      <w:r>
        <w:rPr>
          <w:b/>
          <w:u w:val="single"/>
        </w:rPr>
        <w:t xml:space="preserve"> For indication of the LBT/no-LBT mode:</w:t>
      </w:r>
    </w:p>
    <w:p w14:paraId="69B6C8A0"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gNB determines its mode by implementation;</w:t>
      </w:r>
    </w:p>
    <w:p w14:paraId="243B95F7"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 xml:space="preserve">UE assumes both the gNB and UE operates according to the indicated mode in the cell-specific indication; </w:t>
      </w:r>
    </w:p>
    <w:p w14:paraId="1CF4F787"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UE assumes the UE operates according to the indicated mode in the UE-specific indication;</w:t>
      </w:r>
    </w:p>
    <w:p w14:paraId="7CC8C4DD" w14:textId="77777777" w:rsidR="00A41DE7" w:rsidRPr="004C4D71" w:rsidRDefault="00A41DE7" w:rsidP="00A41DE7">
      <w:pPr>
        <w:pStyle w:val="ListParagraph"/>
        <w:numPr>
          <w:ilvl w:val="0"/>
          <w:numId w:val="47"/>
        </w:numPr>
        <w:tabs>
          <w:tab w:val="left" w:pos="1300"/>
        </w:tabs>
        <w:ind w:leftChars="0"/>
        <w:jc w:val="both"/>
        <w:rPr>
          <w:b/>
          <w:u w:val="single"/>
        </w:rPr>
      </w:pPr>
      <w:r>
        <w:rPr>
          <w:b/>
          <w:u w:val="single"/>
        </w:rPr>
        <w:t>the UE-specific indication overrides the cell-specific indication when both of them are provided.</w:t>
      </w:r>
    </w:p>
    <w:p w14:paraId="4C7E528E" w14:textId="539246D1" w:rsidR="00A41DE7" w:rsidRDefault="00A41DE7" w:rsidP="00A41D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directional LBT in multi-beam scenarios</w:t>
      </w:r>
    </w:p>
    <w:p w14:paraId="15319E3C" w14:textId="56DE190A" w:rsidR="00A41DE7" w:rsidRDefault="00A41DE7" w:rsidP="00A41DE7">
      <w:pPr>
        <w:tabs>
          <w:tab w:val="left" w:pos="1300"/>
        </w:tabs>
        <w:jc w:val="both"/>
        <w:rPr>
          <w:lang w:val="en-US"/>
        </w:rPr>
      </w:pPr>
      <w:r>
        <w:rPr>
          <w:lang w:val="en-US"/>
        </w:rPr>
        <w:t xml:space="preserve">In RAN1#107-e, the following agreements were made regarding the LBT for multi-beam scenarios: </w:t>
      </w:r>
    </w:p>
    <w:p w14:paraId="63A72909" w14:textId="77777777" w:rsidR="00A41DE7" w:rsidRPr="00967F9B" w:rsidRDefault="00A41DE7" w:rsidP="00A41DE7">
      <w:pPr>
        <w:spacing w:after="0"/>
        <w:rPr>
          <w:b/>
          <w:bCs/>
          <w:highlight w:val="green"/>
          <w:lang w:eastAsia="x-none"/>
        </w:rPr>
      </w:pPr>
      <w:r w:rsidRPr="00967F9B">
        <w:rPr>
          <w:b/>
          <w:bCs/>
          <w:highlight w:val="green"/>
          <w:lang w:eastAsia="x-none"/>
        </w:rPr>
        <w:t>Agreement</w:t>
      </w:r>
    </w:p>
    <w:p w14:paraId="1EDE3449" w14:textId="77777777" w:rsidR="00A41DE7" w:rsidRPr="00967F9B" w:rsidRDefault="00A41DE7" w:rsidP="00A41DE7">
      <w:pPr>
        <w:spacing w:after="0"/>
        <w:rPr>
          <w:lang w:val="en-US" w:eastAsia="ja-JP"/>
        </w:rPr>
      </w:pPr>
      <w:r w:rsidRPr="00967F9B">
        <w:rPr>
          <w:lang w:eastAsia="ja-JP"/>
        </w:rPr>
        <w:t>For a COT with MU-MIMO (SDM) transmission, support both Alt 1 and Alt 2 below:</w:t>
      </w:r>
    </w:p>
    <w:p w14:paraId="4D888B37" w14:textId="77777777" w:rsidR="00A41DE7" w:rsidRPr="00967F9B" w:rsidRDefault="00A41DE7" w:rsidP="00A41DE7">
      <w:pPr>
        <w:pStyle w:val="ListParagraph"/>
        <w:numPr>
          <w:ilvl w:val="0"/>
          <w:numId w:val="13"/>
        </w:numPr>
        <w:overflowPunct w:val="0"/>
        <w:snapToGrid w:val="0"/>
        <w:spacing w:after="0"/>
        <w:ind w:leftChars="0"/>
        <w:rPr>
          <w:rFonts w:eastAsia="Times New Roman"/>
        </w:rPr>
      </w:pPr>
      <w:r w:rsidRPr="00967F9B">
        <w:rPr>
          <w:rFonts w:eastAsia="Times New Roman"/>
        </w:rPr>
        <w:t>Alt 1: Single LBT sensing at the start of the COT with wide beam ‘cover’ all beams to be used in the COT with appropriate ED threshold</w:t>
      </w:r>
    </w:p>
    <w:p w14:paraId="0A51ADC0" w14:textId="77777777" w:rsidR="00A41DE7" w:rsidRPr="00967F9B" w:rsidRDefault="00A41DE7" w:rsidP="00A41DE7">
      <w:pPr>
        <w:pStyle w:val="ListParagraph"/>
        <w:numPr>
          <w:ilvl w:val="0"/>
          <w:numId w:val="13"/>
        </w:numPr>
        <w:overflowPunct w:val="0"/>
        <w:snapToGrid w:val="0"/>
        <w:spacing w:after="0"/>
        <w:ind w:leftChars="0"/>
        <w:rPr>
          <w:rFonts w:eastAsia="Times New Roman"/>
        </w:rPr>
      </w:pPr>
      <w:r w:rsidRPr="00967F9B">
        <w:rPr>
          <w:rFonts w:eastAsia="Times New Roman"/>
        </w:rPr>
        <w:t>Alt 2: Independent per-beam LBT sensing at the start of COT is performed for beams used in th</w:t>
      </w:r>
      <w:r w:rsidRPr="00967F9B">
        <w:rPr>
          <w:rFonts w:eastAsia="Times New Roman"/>
          <w:color w:val="000000"/>
        </w:rPr>
        <w:t xml:space="preserve">e COT, if the </w:t>
      </w:r>
      <w:r w:rsidRPr="00967F9B">
        <w:rPr>
          <w:rFonts w:eastAsia="Times New Roman"/>
        </w:rPr>
        <w:t xml:space="preserve">node can perform simultaneous sensing in different beams </w:t>
      </w:r>
    </w:p>
    <w:p w14:paraId="7A836062" w14:textId="77777777" w:rsidR="00A41DE7" w:rsidRPr="00967F9B" w:rsidRDefault="00A41DE7" w:rsidP="00A41DE7">
      <w:pPr>
        <w:spacing w:after="0"/>
        <w:rPr>
          <w:rFonts w:eastAsia="DengXian"/>
          <w:color w:val="000000"/>
          <w:lang w:val="en-US"/>
        </w:rPr>
      </w:pPr>
      <w:r w:rsidRPr="00967F9B">
        <w:rPr>
          <w:color w:val="000000"/>
        </w:rPr>
        <w:t xml:space="preserve">Note: On UE side, no UE capability will be introduced for this purpose. </w:t>
      </w:r>
    </w:p>
    <w:p w14:paraId="1D15944D" w14:textId="77777777" w:rsidR="00A41DE7" w:rsidRPr="00967F9B" w:rsidRDefault="00A41DE7" w:rsidP="00A41DE7">
      <w:pPr>
        <w:spacing w:after="0"/>
      </w:pPr>
    </w:p>
    <w:p w14:paraId="5FE71BD2" w14:textId="77777777" w:rsidR="00A41DE7" w:rsidRPr="00967F9B" w:rsidRDefault="00A41DE7" w:rsidP="00A41DE7">
      <w:pPr>
        <w:spacing w:after="0"/>
        <w:rPr>
          <w:b/>
          <w:bCs/>
          <w:highlight w:val="green"/>
          <w:lang w:eastAsia="x-none"/>
        </w:rPr>
      </w:pPr>
      <w:r w:rsidRPr="00967F9B">
        <w:rPr>
          <w:b/>
          <w:bCs/>
          <w:highlight w:val="green"/>
          <w:lang w:eastAsia="x-none"/>
        </w:rPr>
        <w:t>Agreement</w:t>
      </w:r>
    </w:p>
    <w:p w14:paraId="40233CED" w14:textId="77777777" w:rsidR="00A41DE7" w:rsidRPr="00967F9B" w:rsidRDefault="00A41DE7" w:rsidP="00A41DE7">
      <w:pPr>
        <w:spacing w:after="0"/>
        <w:rPr>
          <w:lang w:val="en-US" w:eastAsia="ja-JP"/>
        </w:rPr>
      </w:pPr>
      <w:r w:rsidRPr="00967F9B">
        <w:rPr>
          <w:lang w:eastAsia="ja-JP"/>
        </w:rPr>
        <w:t>Within a COT with TDM of beams with beam switching, at least support Alt 1</w:t>
      </w:r>
    </w:p>
    <w:p w14:paraId="22E530AF" w14:textId="77777777" w:rsidR="00A41DE7" w:rsidRPr="00967F9B" w:rsidRDefault="00A41DE7" w:rsidP="00A41DE7">
      <w:pPr>
        <w:pStyle w:val="ListParagraph"/>
        <w:numPr>
          <w:ilvl w:val="0"/>
          <w:numId w:val="14"/>
        </w:numPr>
        <w:overflowPunct w:val="0"/>
        <w:snapToGrid w:val="0"/>
        <w:spacing w:after="0" w:line="252" w:lineRule="auto"/>
        <w:ind w:leftChars="0"/>
        <w:rPr>
          <w:rFonts w:eastAsia="Times New Roman"/>
        </w:rPr>
      </w:pPr>
      <w:r w:rsidRPr="00967F9B">
        <w:rPr>
          <w:rFonts w:eastAsia="Times New Roman"/>
        </w:rPr>
        <w:t xml:space="preserve">Alt 1 (from previous agreement): Single LBT sensing with wide beam ‘cover’ all beams to be used in the COT </w:t>
      </w:r>
    </w:p>
    <w:p w14:paraId="4D896238" w14:textId="77777777" w:rsidR="00A41DE7" w:rsidRPr="00967F9B" w:rsidRDefault="00A41DE7" w:rsidP="00A41DE7">
      <w:pPr>
        <w:spacing w:after="0"/>
        <w:rPr>
          <w:rFonts w:eastAsia="DengXian"/>
          <w:lang w:val="en-US" w:eastAsia="ja-JP"/>
        </w:rPr>
      </w:pPr>
    </w:p>
    <w:p w14:paraId="2A89E479" w14:textId="77777777" w:rsidR="00A41DE7" w:rsidRPr="00967F9B" w:rsidRDefault="00A41DE7" w:rsidP="00A41DE7">
      <w:pPr>
        <w:spacing w:after="0"/>
        <w:rPr>
          <w:b/>
          <w:bCs/>
          <w:highlight w:val="green"/>
          <w:lang w:eastAsia="x-none"/>
        </w:rPr>
      </w:pPr>
      <w:r w:rsidRPr="00967F9B">
        <w:rPr>
          <w:b/>
          <w:bCs/>
          <w:highlight w:val="green"/>
          <w:lang w:eastAsia="x-none"/>
        </w:rPr>
        <w:t>Agreement</w:t>
      </w:r>
    </w:p>
    <w:p w14:paraId="070EBF8A" w14:textId="77777777" w:rsidR="00A41DE7" w:rsidRPr="00967F9B" w:rsidRDefault="00A41DE7" w:rsidP="00A41DE7">
      <w:pPr>
        <w:spacing w:after="0"/>
        <w:rPr>
          <w:lang w:val="en-US" w:eastAsia="ja-JP"/>
        </w:rPr>
      </w:pPr>
      <w:r w:rsidRPr="00967F9B">
        <w:rPr>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BD6D2D8" w14:textId="77777777" w:rsidR="00A41DE7" w:rsidRPr="00967F9B" w:rsidRDefault="00A41DE7" w:rsidP="00A41DE7">
      <w:pPr>
        <w:pStyle w:val="ListParagraph"/>
        <w:numPr>
          <w:ilvl w:val="0"/>
          <w:numId w:val="14"/>
        </w:numPr>
        <w:overflowPunct w:val="0"/>
        <w:snapToGrid w:val="0"/>
        <w:spacing w:after="0" w:line="252" w:lineRule="auto"/>
        <w:ind w:leftChars="0"/>
        <w:rPr>
          <w:rFonts w:eastAsia="Times New Roman"/>
        </w:rPr>
      </w:pPr>
      <w:r w:rsidRPr="00967F9B">
        <w:rPr>
          <w:rFonts w:eastAsia="Times New Roman"/>
        </w:rPr>
        <w:t>Alt 2 from previous agreement: Independent per-beam LBT sensing at the start of COT is performed for beams used in the COT</w:t>
      </w:r>
    </w:p>
    <w:p w14:paraId="5B638DC5" w14:textId="77777777" w:rsidR="00A41DE7" w:rsidRPr="00967F9B" w:rsidRDefault="00A41DE7" w:rsidP="00A41DE7">
      <w:pPr>
        <w:pStyle w:val="ListParagraph"/>
        <w:numPr>
          <w:ilvl w:val="0"/>
          <w:numId w:val="14"/>
        </w:numPr>
        <w:overflowPunct w:val="0"/>
        <w:snapToGrid w:val="0"/>
        <w:spacing w:line="252" w:lineRule="auto"/>
        <w:ind w:leftChars="0"/>
        <w:rPr>
          <w:rFonts w:eastAsia="Times New Roman"/>
        </w:rPr>
      </w:pPr>
      <w:r w:rsidRPr="00967F9B">
        <w:rPr>
          <w:rFonts w:eastAsia="Times New Roman"/>
        </w:rPr>
        <w:lastRenderedPageBreak/>
        <w:t>Alt 3 from previous agreement: Independent per-beam LBT sensing at the start of COT is performed for beams used in the COT with additional requirement on Cat 2 LBT before beam switch</w:t>
      </w:r>
    </w:p>
    <w:p w14:paraId="4B9476EB" w14:textId="7B6F397F" w:rsidR="00A41DE7" w:rsidRDefault="00A41DE7" w:rsidP="00A41DE7">
      <w:pPr>
        <w:tabs>
          <w:tab w:val="left" w:pos="1300"/>
        </w:tabs>
        <w:jc w:val="both"/>
        <w:rPr>
          <w:lang w:val="en-US"/>
        </w:rPr>
      </w:pPr>
      <w:r>
        <w:rPr>
          <w:lang w:val="en-US"/>
        </w:rPr>
        <w:t xml:space="preserve">However, there is still a remaining issue on at least one of the beams fails to complete the channel access procedure, which needs further specification update to address. </w:t>
      </w:r>
    </w:p>
    <w:p w14:paraId="44AA4931" w14:textId="679CC19E" w:rsidR="00A41DE7" w:rsidRDefault="00A41DE7" w:rsidP="00E24501">
      <w:pPr>
        <w:spacing w:after="0"/>
        <w:jc w:val="both"/>
        <w:rPr>
          <w:rFonts w:cs="Times"/>
          <w:lang w:val="en-US"/>
        </w:rPr>
      </w:pPr>
      <w:r>
        <w:rPr>
          <w:rFonts w:cs="Times"/>
          <w:lang w:val="en-US"/>
        </w:rPr>
        <w:t>For the SDM scenario, when Type 1</w:t>
      </w:r>
      <w:r w:rsidRPr="00A41DE7">
        <w:rPr>
          <w:rFonts w:cs="Times"/>
          <w:lang w:val="en-US"/>
        </w:rPr>
        <w:t xml:space="preserve"> channel access procedure is applied before the start of the channel occupancy simultaneously per sensing beam where each sensing beam covers a transmission be</w:t>
      </w:r>
      <w:r>
        <w:rPr>
          <w:rFonts w:cs="Times"/>
          <w:lang w:val="en-US"/>
        </w:rPr>
        <w:t xml:space="preserve">am within the channel occupancy, </w:t>
      </w:r>
      <w:r w:rsidR="00E24501">
        <w:rPr>
          <w:rFonts w:cs="Times"/>
          <w:lang w:val="en-US"/>
        </w:rPr>
        <w:t xml:space="preserve">if the channel access procedure succeed for all sensing beams, all transmission can occur in the channel occupancy (as shown in the first example of </w:t>
      </w:r>
      <w:r w:rsidR="00E24501">
        <w:rPr>
          <w:rFonts w:cs="Times"/>
          <w:lang w:val="en-US"/>
        </w:rPr>
        <w:fldChar w:fldCharType="begin"/>
      </w:r>
      <w:r w:rsidR="00E24501">
        <w:rPr>
          <w:rFonts w:cs="Times"/>
          <w:lang w:val="en-US"/>
        </w:rPr>
        <w:instrText xml:space="preserve"> REF _Ref92282365 \h </w:instrText>
      </w:r>
      <w:r w:rsidR="00E24501">
        <w:rPr>
          <w:rFonts w:cs="Times"/>
          <w:lang w:val="en-US"/>
        </w:rPr>
      </w:r>
      <w:r w:rsidR="00E24501">
        <w:rPr>
          <w:rFonts w:cs="Times"/>
          <w:lang w:val="en-US"/>
        </w:rPr>
        <w:fldChar w:fldCharType="separate"/>
      </w:r>
      <w:r w:rsidR="00E24501">
        <w:t xml:space="preserve">Figure </w:t>
      </w:r>
      <w:r w:rsidR="00E24501">
        <w:rPr>
          <w:noProof/>
        </w:rPr>
        <w:t>1</w:t>
      </w:r>
      <w:r w:rsidR="00E24501">
        <w:rPr>
          <w:rFonts w:cs="Times"/>
          <w:lang w:val="en-US"/>
        </w:rPr>
        <w:fldChar w:fldCharType="end"/>
      </w:r>
      <w:r w:rsidR="00E24501">
        <w:rPr>
          <w:rFonts w:cs="Times"/>
          <w:lang w:val="en-US"/>
        </w:rPr>
        <w:t xml:space="preserve">); </w:t>
      </w:r>
      <w:r>
        <w:rPr>
          <w:rFonts w:cs="Times"/>
          <w:lang w:val="en-US"/>
        </w:rPr>
        <w:t xml:space="preserve">if the channel access procedure does not succeed for one or more sensing beams, the transmitter should </w:t>
      </w:r>
      <w:r w:rsidR="00E24501">
        <w:rPr>
          <w:rFonts w:cs="Times"/>
          <w:lang w:val="en-US"/>
        </w:rPr>
        <w:t>d</w:t>
      </w:r>
      <w:r>
        <w:rPr>
          <w:rFonts w:cs="Times"/>
          <w:lang w:val="en-US"/>
        </w:rPr>
        <w:t>rop the transmission for beams with failed channel access procedure</w:t>
      </w:r>
      <w:r w:rsidR="00E24501">
        <w:rPr>
          <w:rFonts w:cs="Times"/>
          <w:lang w:val="en-US"/>
        </w:rPr>
        <w:t xml:space="preserve"> (as shown in the second example of </w:t>
      </w:r>
      <w:r w:rsidR="00E24501">
        <w:rPr>
          <w:rFonts w:cs="Times"/>
          <w:lang w:val="en-US"/>
        </w:rPr>
        <w:fldChar w:fldCharType="begin"/>
      </w:r>
      <w:r w:rsidR="00E24501">
        <w:rPr>
          <w:rFonts w:cs="Times"/>
          <w:lang w:val="en-US"/>
        </w:rPr>
        <w:instrText xml:space="preserve"> REF _Ref92282365 \h </w:instrText>
      </w:r>
      <w:r w:rsidR="00E24501">
        <w:rPr>
          <w:rFonts w:cs="Times"/>
          <w:lang w:val="en-US"/>
        </w:rPr>
      </w:r>
      <w:r w:rsidR="00E24501">
        <w:rPr>
          <w:rFonts w:cs="Times"/>
          <w:lang w:val="en-US"/>
        </w:rPr>
        <w:fldChar w:fldCharType="separate"/>
      </w:r>
      <w:r w:rsidR="00E24501">
        <w:t xml:space="preserve">Figure </w:t>
      </w:r>
      <w:r w:rsidR="00E24501">
        <w:rPr>
          <w:noProof/>
        </w:rPr>
        <w:t>1</w:t>
      </w:r>
      <w:r w:rsidR="00E24501">
        <w:rPr>
          <w:rFonts w:cs="Times"/>
          <w:lang w:val="en-US"/>
        </w:rPr>
        <w:fldChar w:fldCharType="end"/>
      </w:r>
      <w:r w:rsidR="00E24501">
        <w:rPr>
          <w:rFonts w:cs="Times"/>
          <w:lang w:val="en-US"/>
        </w:rPr>
        <w:t>)</w:t>
      </w:r>
      <w:r>
        <w:rPr>
          <w:rFonts w:cs="Times"/>
          <w:lang w:val="en-US"/>
        </w:rPr>
        <w:t>.</w:t>
      </w:r>
    </w:p>
    <w:p w14:paraId="4D3B2352" w14:textId="3FD4E767" w:rsidR="00E24501" w:rsidRDefault="00E24501" w:rsidP="00E24501">
      <w:pPr>
        <w:jc w:val="center"/>
      </w:pPr>
      <w:r>
        <w:object w:dxaOrig="7153" w:dyaOrig="4657" w14:anchorId="5BC10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5pt;height:187.5pt" o:ole="">
            <v:imagedata r:id="rId8" o:title=""/>
          </v:shape>
          <o:OLEObject Type="Embed" ProgID="Visio.Drawing.15" ShapeID="_x0000_i1025" DrawAspect="Content" ObjectID="_1703073171" r:id="rId9"/>
        </w:object>
      </w:r>
    </w:p>
    <w:p w14:paraId="4D913205" w14:textId="042F6A86" w:rsidR="00E24501" w:rsidRDefault="00E24501" w:rsidP="00E24501">
      <w:pPr>
        <w:pStyle w:val="Caption"/>
        <w:rPr>
          <w:lang w:val="en-US"/>
        </w:rPr>
      </w:pPr>
      <w:bookmarkStart w:id="4" w:name="_Ref92282365"/>
      <w:r>
        <w:t xml:space="preserve">Figure </w:t>
      </w:r>
      <w:r>
        <w:fldChar w:fldCharType="begin"/>
      </w:r>
      <w:r>
        <w:instrText xml:space="preserve"> SEQ Figure \* ARABIC </w:instrText>
      </w:r>
      <w:r>
        <w:fldChar w:fldCharType="separate"/>
      </w:r>
      <w:r>
        <w:rPr>
          <w:noProof/>
        </w:rPr>
        <w:t>1</w:t>
      </w:r>
      <w:r>
        <w:fldChar w:fldCharType="end"/>
      </w:r>
      <w:bookmarkEnd w:id="4"/>
      <w:r>
        <w:t xml:space="preserve"> Illustration of transmissions for SDM scenario.</w:t>
      </w:r>
    </w:p>
    <w:p w14:paraId="31B9A821" w14:textId="702DAB0C" w:rsidR="008208BC" w:rsidRPr="008208BC" w:rsidRDefault="008208BC" w:rsidP="008208BC">
      <w:pPr>
        <w:spacing w:after="0"/>
        <w:jc w:val="both"/>
        <w:rPr>
          <w:rFonts w:cs="Times"/>
          <w:b/>
          <w:u w:val="single"/>
          <w:lang w:val="en-US"/>
        </w:rPr>
      </w:pPr>
      <w:r w:rsidRPr="008208BC">
        <w:rPr>
          <w:rFonts w:cs="Times"/>
          <w:b/>
          <w:u w:val="single"/>
          <w:lang w:val="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2AD7F9CA" w14:textId="37B8481F" w:rsidR="008208BC" w:rsidRPr="008208BC" w:rsidRDefault="008208BC" w:rsidP="008208BC">
      <w:pPr>
        <w:pStyle w:val="ListParagraph"/>
        <w:numPr>
          <w:ilvl w:val="0"/>
          <w:numId w:val="49"/>
        </w:numPr>
        <w:ind w:leftChars="0"/>
        <w:jc w:val="both"/>
        <w:rPr>
          <w:rFonts w:cs="Times"/>
          <w:b/>
          <w:u w:val="single"/>
          <w:lang w:val="en-US"/>
        </w:rPr>
      </w:pPr>
      <w:r w:rsidRPr="008208BC">
        <w:rPr>
          <w:rFonts w:cs="Times"/>
          <w:b/>
          <w:u w:val="single"/>
          <w:lang w:val="en-US"/>
        </w:rPr>
        <w:t>Adopt TP#1 for TS 3</w:t>
      </w:r>
      <w:r>
        <w:rPr>
          <w:rFonts w:cs="Times"/>
          <w:b/>
          <w:u w:val="single"/>
          <w:lang w:val="en-US"/>
        </w:rPr>
        <w:t>7.213.</w:t>
      </w:r>
    </w:p>
    <w:p w14:paraId="0D876EB4" w14:textId="7DCF536A" w:rsidR="00E24501" w:rsidRDefault="00E24501" w:rsidP="00267913">
      <w:pPr>
        <w:spacing w:after="0"/>
        <w:jc w:val="both"/>
        <w:rPr>
          <w:rFonts w:cs="Times"/>
          <w:lang w:val="en-US"/>
        </w:rPr>
      </w:pPr>
      <w:r>
        <w:rPr>
          <w:rFonts w:cs="Times"/>
          <w:lang w:val="en-US"/>
        </w:rPr>
        <w:t>For the SDM scenario, when Type 1</w:t>
      </w:r>
      <w:r w:rsidRPr="00A41DE7">
        <w:rPr>
          <w:rFonts w:cs="Times"/>
          <w:lang w:val="en-US"/>
        </w:rPr>
        <w:t xml:space="preserve"> channel access procedure is applied before the start of the channel occupancy simultaneously per sensing beam where each sensing beam covers a transmission be</w:t>
      </w:r>
      <w:r>
        <w:rPr>
          <w:rFonts w:cs="Times"/>
          <w:lang w:val="en-US"/>
        </w:rPr>
        <w:t>am within the channel occupancy</w:t>
      </w:r>
      <w:r w:rsidR="00267913">
        <w:rPr>
          <w:rFonts w:cs="Times"/>
          <w:lang w:val="en-US"/>
        </w:rPr>
        <w:t>, and no Cat2 LBT is required within the channel occupancy</w:t>
      </w:r>
      <w:r>
        <w:rPr>
          <w:rFonts w:cs="Times"/>
          <w:lang w:val="en-US"/>
        </w:rPr>
        <w:t xml:space="preserve">, if the channel access procedure succeed for all sensing beams, all transmission can occur in the channel occupancy (as shown in the first example of </w:t>
      </w:r>
      <w:r>
        <w:rPr>
          <w:rFonts w:cs="Times"/>
          <w:lang w:val="en-US"/>
        </w:rPr>
        <w:fldChar w:fldCharType="begin"/>
      </w:r>
      <w:r>
        <w:rPr>
          <w:rFonts w:cs="Times"/>
          <w:lang w:val="en-US"/>
        </w:rPr>
        <w:instrText xml:space="preserve"> REF _Ref92282365 \h </w:instrText>
      </w:r>
      <w:r>
        <w:rPr>
          <w:rFonts w:cs="Times"/>
          <w:lang w:val="en-US"/>
        </w:rPr>
      </w:r>
      <w:r>
        <w:rPr>
          <w:rFonts w:cs="Times"/>
          <w:lang w:val="en-US"/>
        </w:rPr>
        <w:fldChar w:fldCharType="separate"/>
      </w:r>
      <w:r>
        <w:t xml:space="preserve">Figure </w:t>
      </w:r>
      <w:r>
        <w:rPr>
          <w:noProof/>
        </w:rPr>
        <w:t>1</w:t>
      </w:r>
      <w:r>
        <w:rPr>
          <w:rFonts w:cs="Times"/>
          <w:lang w:val="en-US"/>
        </w:rPr>
        <w:fldChar w:fldCharType="end"/>
      </w:r>
      <w:r>
        <w:rPr>
          <w:rFonts w:cs="Times"/>
          <w:lang w:val="en-US"/>
        </w:rPr>
        <w:t xml:space="preserve">); if the channel access procedure does not succeed for one or more sensing beams, the transmitter should </w:t>
      </w:r>
      <w:r w:rsidR="00267913">
        <w:rPr>
          <w:rFonts w:cs="Times"/>
          <w:lang w:val="en-US"/>
        </w:rPr>
        <w:t>d</w:t>
      </w:r>
      <w:r>
        <w:rPr>
          <w:rFonts w:cs="Times"/>
          <w:lang w:val="en-US"/>
        </w:rPr>
        <w:t xml:space="preserve">rop the transmission for beams with failed channel access procedure (as shown in the second example of </w:t>
      </w:r>
      <w:r>
        <w:rPr>
          <w:rFonts w:cs="Times"/>
          <w:lang w:val="en-US"/>
        </w:rPr>
        <w:fldChar w:fldCharType="begin"/>
      </w:r>
      <w:r>
        <w:rPr>
          <w:rFonts w:cs="Times"/>
          <w:lang w:val="en-US"/>
        </w:rPr>
        <w:instrText xml:space="preserve"> REF _Ref92282365 \h </w:instrText>
      </w:r>
      <w:r>
        <w:rPr>
          <w:rFonts w:cs="Times"/>
          <w:lang w:val="en-US"/>
        </w:rPr>
      </w:r>
      <w:r>
        <w:rPr>
          <w:rFonts w:cs="Times"/>
          <w:lang w:val="en-US"/>
        </w:rPr>
        <w:fldChar w:fldCharType="separate"/>
      </w:r>
      <w:r>
        <w:t xml:space="preserve">Figure </w:t>
      </w:r>
      <w:r>
        <w:rPr>
          <w:noProof/>
        </w:rPr>
        <w:t>1</w:t>
      </w:r>
      <w:r>
        <w:rPr>
          <w:rFonts w:cs="Times"/>
          <w:lang w:val="en-US"/>
        </w:rPr>
        <w:fldChar w:fldCharType="end"/>
      </w:r>
      <w:r>
        <w:rPr>
          <w:rFonts w:cs="Times"/>
          <w:lang w:val="en-US"/>
        </w:rPr>
        <w:t>).</w:t>
      </w:r>
      <w:r w:rsidR="00267913">
        <w:rPr>
          <w:rFonts w:cs="Times"/>
          <w:lang w:val="en-US"/>
        </w:rPr>
        <w:t xml:space="preserve"> If the time domain gap after dropping is large, the transmitter may need to perform an extra LBT, similar to CO sharing. </w:t>
      </w:r>
    </w:p>
    <w:p w14:paraId="4C752B5A" w14:textId="460D0292" w:rsidR="00267913" w:rsidRDefault="00267913" w:rsidP="00267913">
      <w:pPr>
        <w:spacing w:after="0"/>
        <w:jc w:val="both"/>
        <w:rPr>
          <w:rFonts w:cs="Times"/>
          <w:lang w:val="en-US"/>
        </w:rPr>
      </w:pPr>
    </w:p>
    <w:p w14:paraId="7C2883EF" w14:textId="229EF232" w:rsidR="00267913" w:rsidRDefault="00267913" w:rsidP="00267913">
      <w:pPr>
        <w:spacing w:after="0"/>
        <w:jc w:val="center"/>
        <w:rPr>
          <w:rFonts w:cs="Times"/>
          <w:lang w:val="en-US"/>
        </w:rPr>
      </w:pPr>
      <w:r>
        <w:object w:dxaOrig="7225" w:dyaOrig="4741" w14:anchorId="2C54F265">
          <v:shape id="_x0000_i1026" type="#_x0000_t75" style="width:286.15pt;height:187.5pt" o:ole="">
            <v:imagedata r:id="rId10" o:title=""/>
          </v:shape>
          <o:OLEObject Type="Embed" ProgID="Visio.Drawing.15" ShapeID="_x0000_i1026" DrawAspect="Content" ObjectID="_1703073172" r:id="rId11"/>
        </w:object>
      </w:r>
    </w:p>
    <w:p w14:paraId="4186A15F" w14:textId="17F5A3B9" w:rsidR="00267913" w:rsidRDefault="00267913" w:rsidP="00267913">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transmissions for TDM scenario.</w:t>
      </w:r>
    </w:p>
    <w:p w14:paraId="7A61B7D5" w14:textId="4A19D8B7" w:rsidR="00267913" w:rsidRPr="008208BC" w:rsidRDefault="00267913" w:rsidP="00267913">
      <w:pPr>
        <w:spacing w:after="0"/>
        <w:jc w:val="both"/>
        <w:rPr>
          <w:rFonts w:cs="Times"/>
          <w:b/>
          <w:u w:val="single"/>
          <w:lang w:val="en-US"/>
        </w:rPr>
      </w:pPr>
      <w:r w:rsidRPr="008208BC">
        <w:rPr>
          <w:rFonts w:cs="Times"/>
          <w:b/>
          <w:u w:val="single"/>
          <w:lang w:val="en-US"/>
        </w:rPr>
        <w:lastRenderedPageBreak/>
        <w:t xml:space="preserve">Proposal </w:t>
      </w:r>
      <w:r>
        <w:rPr>
          <w:rFonts w:cs="Times"/>
          <w:b/>
          <w:u w:val="single"/>
          <w:lang w:val="en-US"/>
        </w:rPr>
        <w:t>3</w:t>
      </w:r>
      <w:r w:rsidRPr="008208BC">
        <w:rPr>
          <w:rFonts w:cs="Times"/>
          <w:b/>
          <w:u w:val="single"/>
          <w:lang w:val="en-US"/>
        </w:rPr>
        <w:t xml:space="preserve">: </w:t>
      </w:r>
      <w:r>
        <w:rPr>
          <w:rFonts w:cs="Times"/>
          <w:b/>
          <w:u w:val="single"/>
          <w:lang w:val="en-US"/>
        </w:rPr>
        <w:t>For T</w:t>
      </w:r>
      <w:r w:rsidRPr="008208BC">
        <w:rPr>
          <w:rFonts w:cs="Times"/>
          <w:b/>
          <w:u w:val="single"/>
          <w:lang w:val="en-US"/>
        </w:rPr>
        <w:t xml:space="preserve">DM scenario, when Type 1 channel access procedure is applied before the start of the channel occupancy simultaneously per sensing beam where each sensing beam covers a transmission beam within the channel occupancy, </w:t>
      </w:r>
      <w:r>
        <w:rPr>
          <w:rFonts w:cs="Times"/>
          <w:b/>
          <w:u w:val="single"/>
          <w:lang w:val="en-US"/>
        </w:rPr>
        <w:t xml:space="preserve">and no LBT is performed within the channel occupancy, </w:t>
      </w:r>
      <w:r w:rsidRPr="008208BC">
        <w:rPr>
          <w:rFonts w:cs="Times"/>
          <w:b/>
          <w:u w:val="single"/>
          <w:lang w:val="en-US"/>
        </w:rPr>
        <w:t>if a channel is failed to be accessed for any sensing beam, the corresponding transmission(s) is dropped during the channel occupancy.</w:t>
      </w:r>
    </w:p>
    <w:p w14:paraId="11D66696" w14:textId="5D0F4AE6" w:rsidR="00267913" w:rsidRPr="008208BC" w:rsidRDefault="00267913" w:rsidP="00267913">
      <w:pPr>
        <w:pStyle w:val="ListParagraph"/>
        <w:numPr>
          <w:ilvl w:val="0"/>
          <w:numId w:val="49"/>
        </w:numPr>
        <w:ind w:leftChars="0"/>
        <w:jc w:val="both"/>
        <w:rPr>
          <w:rFonts w:cs="Times"/>
          <w:b/>
          <w:u w:val="single"/>
          <w:lang w:val="en-US"/>
        </w:rPr>
      </w:pPr>
      <w:r w:rsidRPr="008208BC">
        <w:rPr>
          <w:rFonts w:cs="Times"/>
          <w:b/>
          <w:u w:val="single"/>
          <w:lang w:val="en-US"/>
        </w:rPr>
        <w:t>Adopt TP#</w:t>
      </w:r>
      <w:r>
        <w:rPr>
          <w:rFonts w:cs="Times"/>
          <w:b/>
          <w:u w:val="single"/>
          <w:lang w:val="en-US"/>
        </w:rPr>
        <w:t>2</w:t>
      </w:r>
      <w:r w:rsidRPr="008208BC">
        <w:rPr>
          <w:rFonts w:cs="Times"/>
          <w:b/>
          <w:u w:val="single"/>
          <w:lang w:val="en-US"/>
        </w:rPr>
        <w:t xml:space="preserve"> for TS 3</w:t>
      </w:r>
      <w:r>
        <w:rPr>
          <w:rFonts w:cs="Times"/>
          <w:b/>
          <w:u w:val="single"/>
          <w:lang w:val="en-US"/>
        </w:rPr>
        <w:t>7.213.</w:t>
      </w:r>
    </w:p>
    <w:p w14:paraId="74565B36" w14:textId="30B8CEDA" w:rsidR="0028289A" w:rsidRDefault="000C123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short control s</w:t>
      </w:r>
      <w:r w:rsidR="000D6DAD">
        <w:rPr>
          <w:szCs w:val="20"/>
          <w:lang w:val="en-US"/>
        </w:rPr>
        <w:t>ignal</w:t>
      </w:r>
      <w:r w:rsidR="008B47A3">
        <w:rPr>
          <w:szCs w:val="20"/>
          <w:lang w:val="en-US"/>
        </w:rPr>
        <w:t>ling</w:t>
      </w:r>
    </w:p>
    <w:p w14:paraId="52EDB794" w14:textId="2C60C78B" w:rsidR="00A863FA" w:rsidRDefault="000C123A" w:rsidP="00EC5B50">
      <w:pPr>
        <w:tabs>
          <w:tab w:val="left" w:pos="1300"/>
        </w:tabs>
        <w:jc w:val="both"/>
        <w:rPr>
          <w:lang w:val="en-US"/>
        </w:rPr>
      </w:pPr>
      <w:r>
        <w:rPr>
          <w:lang w:val="en-US"/>
        </w:rPr>
        <w:t>For short control signaling, subject to regulation,</w:t>
      </w:r>
      <w:r w:rsidR="00A863FA">
        <w:rPr>
          <w:lang w:val="en-US"/>
        </w:rPr>
        <w:t xml:space="preserve"> the transmission duration and duty cycle should be restricted such that fair coexistence with other technology can be guaranteed. </w:t>
      </w:r>
      <w:r w:rsidR="00ED4034">
        <w:rPr>
          <w:lang w:val="en-US"/>
        </w:rPr>
        <w:t>From the requirement of regulation, duty cycle is calculated per node, which translates to pe</w:t>
      </w:r>
      <w:r>
        <w:rPr>
          <w:lang w:val="en-US"/>
        </w:rPr>
        <w:t xml:space="preserve">r cell for DL and per UE for UL. In this sense, no update from the specification is needed. </w:t>
      </w:r>
      <w:r w:rsidR="00ED4034">
        <w:rPr>
          <w:lang w:val="en-US"/>
        </w:rPr>
        <w:t xml:space="preserve"> </w:t>
      </w:r>
    </w:p>
    <w:p w14:paraId="6D0144B8" w14:textId="572942CF" w:rsidR="00A863FA" w:rsidRDefault="004C4D71" w:rsidP="000C123A">
      <w:pPr>
        <w:tabs>
          <w:tab w:val="left" w:pos="1300"/>
        </w:tabs>
        <w:spacing w:after="0"/>
        <w:jc w:val="both"/>
        <w:rPr>
          <w:b/>
          <w:u w:val="single"/>
        </w:rPr>
      </w:pPr>
      <w:r>
        <w:rPr>
          <w:b/>
          <w:u w:val="single"/>
        </w:rPr>
        <w:t>Proposal 4</w:t>
      </w:r>
      <w:r w:rsidR="000C123A">
        <w:rPr>
          <w:b/>
          <w:u w:val="single"/>
        </w:rPr>
        <w:t xml:space="preserve">: For </w:t>
      </w:r>
      <w:r w:rsidR="00A863FA" w:rsidRPr="00A863FA">
        <w:rPr>
          <w:b/>
          <w:u w:val="single"/>
        </w:rPr>
        <w:t>short control signal</w:t>
      </w:r>
      <w:r w:rsidR="00377B6E">
        <w:rPr>
          <w:b/>
          <w:u w:val="single"/>
        </w:rPr>
        <w:t>ling</w:t>
      </w:r>
      <w:r w:rsidR="000C123A">
        <w:rPr>
          <w:b/>
          <w:u w:val="single"/>
        </w:rPr>
        <w:t>, the duty cycle calculation for UL is per UE.</w:t>
      </w:r>
    </w:p>
    <w:p w14:paraId="64F4EED7" w14:textId="541FF3DD" w:rsidR="000C123A" w:rsidRPr="000C123A" w:rsidRDefault="000C123A" w:rsidP="000C123A">
      <w:pPr>
        <w:pStyle w:val="ListParagraph"/>
        <w:numPr>
          <w:ilvl w:val="0"/>
          <w:numId w:val="49"/>
        </w:numPr>
        <w:tabs>
          <w:tab w:val="left" w:pos="1300"/>
        </w:tabs>
        <w:ind w:leftChars="0"/>
        <w:jc w:val="both"/>
        <w:rPr>
          <w:b/>
          <w:u w:val="single"/>
          <w:lang w:val="en-US"/>
        </w:rPr>
      </w:pPr>
      <w:r>
        <w:rPr>
          <w:b/>
          <w:u w:val="single"/>
          <w:lang w:val="en-US"/>
        </w:rPr>
        <w:t>No spec impact.</w:t>
      </w:r>
    </w:p>
    <w:p w14:paraId="723CFCDE" w14:textId="159D3D6A" w:rsidR="0072715A" w:rsidRDefault="000C123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RSSI m</w:t>
      </w:r>
      <w:r w:rsidR="0072715A">
        <w:rPr>
          <w:szCs w:val="20"/>
          <w:lang w:val="en-US"/>
        </w:rPr>
        <w:t>easurement</w:t>
      </w:r>
    </w:p>
    <w:p w14:paraId="3E26392E" w14:textId="5057C5A3" w:rsidR="0072715A" w:rsidRDefault="000C123A" w:rsidP="000C66FC">
      <w:pPr>
        <w:tabs>
          <w:tab w:val="left" w:pos="1300"/>
        </w:tabs>
        <w:spacing w:after="0"/>
        <w:jc w:val="both"/>
        <w:rPr>
          <w:lang w:val="en-US"/>
        </w:rPr>
      </w:pPr>
      <w:r>
        <w:rPr>
          <w:lang w:val="en-US"/>
        </w:rPr>
        <w:t>In the WI, it has been agreed to support beam-specific information for L3-RSSI measurement</w:t>
      </w:r>
      <w:r w:rsidR="000C66FC">
        <w:rPr>
          <w:lang w:val="en-US"/>
        </w:rPr>
        <w:t xml:space="preserve">, and two alternatives were considered: </w:t>
      </w:r>
    </w:p>
    <w:p w14:paraId="5A0E7C1E" w14:textId="1EEC7D17" w:rsidR="000C66FC" w:rsidRPr="000C66FC" w:rsidRDefault="000C66FC" w:rsidP="000C66FC">
      <w:pPr>
        <w:pStyle w:val="ListParagraph"/>
        <w:numPr>
          <w:ilvl w:val="0"/>
          <w:numId w:val="49"/>
        </w:numPr>
        <w:tabs>
          <w:tab w:val="left" w:pos="1300"/>
        </w:tabs>
        <w:spacing w:after="0"/>
        <w:ind w:leftChars="0"/>
        <w:jc w:val="both"/>
        <w:rPr>
          <w:lang w:val="en-US"/>
        </w:rPr>
      </w:pPr>
      <w:r w:rsidRPr="000C66FC">
        <w:rPr>
          <w:lang w:val="en-US"/>
        </w:rPr>
        <w:t>Alt 1: gNB configures the beam when configures the L3-RSSI measurement by introducing TCI-State IE in RMTC-Config</w:t>
      </w:r>
    </w:p>
    <w:p w14:paraId="25A38B7D" w14:textId="4220D619" w:rsidR="000C66FC" w:rsidRDefault="000C66FC" w:rsidP="000C66FC">
      <w:pPr>
        <w:pStyle w:val="ListParagraph"/>
        <w:numPr>
          <w:ilvl w:val="0"/>
          <w:numId w:val="49"/>
        </w:numPr>
        <w:tabs>
          <w:tab w:val="left" w:pos="1300"/>
        </w:tabs>
        <w:ind w:leftChars="0"/>
        <w:jc w:val="both"/>
        <w:rPr>
          <w:lang w:val="en-US"/>
        </w:rPr>
      </w:pPr>
      <w:r w:rsidRPr="000C66FC">
        <w:rPr>
          <w:lang w:val="en-US"/>
        </w:rPr>
        <w:t>Alt 2: Use the QCL type-D of the latest received PDSCH and the latest monitored CORESET</w:t>
      </w:r>
    </w:p>
    <w:p w14:paraId="1A885ECE" w14:textId="3651E113" w:rsidR="000C66FC" w:rsidRPr="000C66FC" w:rsidRDefault="000C66FC" w:rsidP="000C66FC">
      <w:pPr>
        <w:tabs>
          <w:tab w:val="left" w:pos="1300"/>
        </w:tabs>
        <w:jc w:val="both"/>
        <w:rPr>
          <w:lang w:val="en-US"/>
        </w:rPr>
      </w:pPr>
      <w:r>
        <w:rPr>
          <w:lang w:val="en-US"/>
        </w:rPr>
        <w:t xml:space="preserve">The simpler way is to provide an explicit configuration for beam-specific information, and if such information is not provided, it can be up to UE’s implementation to determine a beam for measuring L3-RSSI, as in Rel-16 NR-U. </w:t>
      </w:r>
    </w:p>
    <w:p w14:paraId="07163259" w14:textId="46AE3E44" w:rsidR="0072715A" w:rsidRPr="0072715A" w:rsidRDefault="00D65339" w:rsidP="00905DEF">
      <w:pPr>
        <w:tabs>
          <w:tab w:val="left" w:pos="1300"/>
        </w:tabs>
        <w:jc w:val="both"/>
        <w:rPr>
          <w:b/>
          <w:u w:val="single"/>
          <w:lang w:val="en-US"/>
        </w:rPr>
      </w:pPr>
      <w:r>
        <w:rPr>
          <w:b/>
          <w:u w:val="single"/>
          <w:lang w:val="en-US"/>
        </w:rPr>
        <w:t xml:space="preserve">Proposal </w:t>
      </w:r>
      <w:r w:rsidR="00A50FE0">
        <w:rPr>
          <w:b/>
          <w:u w:val="single"/>
          <w:lang w:val="en-US"/>
        </w:rPr>
        <w:t>5</w:t>
      </w:r>
      <w:r w:rsidR="0072715A">
        <w:rPr>
          <w:b/>
          <w:u w:val="single"/>
          <w:lang w:val="en-US"/>
        </w:rPr>
        <w:t xml:space="preserve">: </w:t>
      </w:r>
      <w:r w:rsidR="00A50FE0">
        <w:rPr>
          <w:b/>
          <w:u w:val="single"/>
          <w:lang w:val="en-US"/>
        </w:rPr>
        <w:t>Support gNB configuring</w:t>
      </w:r>
      <w:r w:rsidR="00A50FE0" w:rsidRPr="00A50FE0">
        <w:rPr>
          <w:b/>
          <w:u w:val="single"/>
          <w:lang w:val="en-US"/>
        </w:rPr>
        <w:t xml:space="preserve"> </w:t>
      </w:r>
      <w:r w:rsidR="00A50FE0">
        <w:rPr>
          <w:b/>
          <w:u w:val="single"/>
          <w:lang w:val="en-US"/>
        </w:rPr>
        <w:t>a</w:t>
      </w:r>
      <w:r w:rsidR="00A50FE0" w:rsidRPr="00A50FE0">
        <w:rPr>
          <w:b/>
          <w:u w:val="single"/>
          <w:lang w:val="en-US"/>
        </w:rPr>
        <w:t xml:space="preserve"> TCI-State IE in RMTC-Config </w:t>
      </w:r>
      <w:r w:rsidR="00A50FE0">
        <w:rPr>
          <w:b/>
          <w:u w:val="single"/>
          <w:lang w:val="en-US"/>
        </w:rPr>
        <w:t>for</w:t>
      </w:r>
      <w:r w:rsidR="00A50FE0" w:rsidRPr="00A50FE0">
        <w:rPr>
          <w:b/>
          <w:u w:val="single"/>
          <w:lang w:val="en-US"/>
        </w:rPr>
        <w:t xml:space="preserve"> L3-RSSI measurement</w:t>
      </w:r>
      <w:r w:rsidR="0072715A">
        <w:rPr>
          <w:b/>
          <w:u w:val="single"/>
          <w:lang w:val="en-US"/>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6C3D6340" w14:textId="77777777" w:rsidR="00A50FE0" w:rsidRDefault="00A50FE0" w:rsidP="00A50FE0">
      <w:r>
        <w:t>The proposals</w:t>
      </w:r>
      <w:r w:rsidRPr="00816B5E">
        <w:t xml:space="preserve"> made in this contribution </w:t>
      </w:r>
      <w:r>
        <w:t>are</w:t>
      </w:r>
      <w:r w:rsidRPr="00816B5E">
        <w:t xml:space="preserve"> summarized below</w:t>
      </w:r>
      <w:r>
        <w:t xml:space="preserve"> (associated TPs are listed in the appendix)</w:t>
      </w:r>
      <w:r w:rsidRPr="00816B5E">
        <w:t>:</w:t>
      </w:r>
    </w:p>
    <w:p w14:paraId="5AD6DF80" w14:textId="77777777" w:rsidR="00A50FE0" w:rsidRDefault="00A50FE0" w:rsidP="00A50FE0">
      <w:pPr>
        <w:tabs>
          <w:tab w:val="left" w:pos="1300"/>
        </w:tabs>
        <w:spacing w:after="0"/>
        <w:jc w:val="both"/>
        <w:rPr>
          <w:b/>
          <w:u w:val="single"/>
        </w:rPr>
      </w:pPr>
      <w:r w:rsidRPr="00C63B00">
        <w:rPr>
          <w:b/>
          <w:u w:val="single"/>
        </w:rPr>
        <w:t xml:space="preserve">Proposal </w:t>
      </w:r>
      <w:r>
        <w:rPr>
          <w:b/>
          <w:u w:val="single"/>
        </w:rPr>
        <w:t>1</w:t>
      </w:r>
      <w:r w:rsidRPr="00C63B00">
        <w:rPr>
          <w:b/>
          <w:u w:val="single"/>
        </w:rPr>
        <w:t>:</w:t>
      </w:r>
      <w:r>
        <w:rPr>
          <w:b/>
          <w:u w:val="single"/>
        </w:rPr>
        <w:t xml:space="preserve"> For indication of the LBT/no-LBT mode:</w:t>
      </w:r>
    </w:p>
    <w:p w14:paraId="00492591"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gNB determines its mode by implementation;</w:t>
      </w:r>
    </w:p>
    <w:p w14:paraId="1132ED04"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 xml:space="preserve">UE assumes both the gNB and UE operates according to the indicated mode in the cell-specific indication; </w:t>
      </w:r>
    </w:p>
    <w:p w14:paraId="69BB74EA"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UE assumes the UE operates according to the indicated mode in the UE-specific indication;</w:t>
      </w:r>
    </w:p>
    <w:p w14:paraId="267F5A4E" w14:textId="77777777" w:rsidR="00A50FE0" w:rsidRPr="00A50FE0" w:rsidRDefault="00A50FE0" w:rsidP="00A50FE0">
      <w:pPr>
        <w:pStyle w:val="ListParagraph"/>
        <w:numPr>
          <w:ilvl w:val="0"/>
          <w:numId w:val="47"/>
        </w:numPr>
        <w:tabs>
          <w:tab w:val="left" w:pos="1300"/>
        </w:tabs>
        <w:ind w:leftChars="0"/>
        <w:jc w:val="both"/>
        <w:rPr>
          <w:b/>
          <w:u w:val="single"/>
        </w:rPr>
      </w:pPr>
      <w:r w:rsidRPr="00A50FE0">
        <w:rPr>
          <w:b/>
          <w:u w:val="single"/>
        </w:rPr>
        <w:t>the UE-specific indication overrides the cell-specific indication when both of them are provided.</w:t>
      </w:r>
    </w:p>
    <w:p w14:paraId="6F556060" w14:textId="77777777" w:rsidR="00A50FE0" w:rsidRPr="008208BC" w:rsidRDefault="00A50FE0" w:rsidP="00A50FE0">
      <w:pPr>
        <w:spacing w:after="0"/>
        <w:jc w:val="both"/>
        <w:rPr>
          <w:rFonts w:cs="Times"/>
          <w:b/>
          <w:u w:val="single"/>
          <w:lang w:val="en-US"/>
        </w:rPr>
      </w:pPr>
      <w:r w:rsidRPr="008208BC">
        <w:rPr>
          <w:rFonts w:cs="Times"/>
          <w:b/>
          <w:u w:val="single"/>
          <w:lang w:val="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395F3B23" w14:textId="77777777" w:rsidR="00A50FE0" w:rsidRPr="008208BC" w:rsidRDefault="00A50FE0" w:rsidP="00A50FE0">
      <w:pPr>
        <w:pStyle w:val="ListParagraph"/>
        <w:numPr>
          <w:ilvl w:val="0"/>
          <w:numId w:val="49"/>
        </w:numPr>
        <w:ind w:leftChars="0"/>
        <w:jc w:val="both"/>
        <w:rPr>
          <w:rFonts w:cs="Times"/>
          <w:b/>
          <w:u w:val="single"/>
          <w:lang w:val="en-US"/>
        </w:rPr>
      </w:pPr>
      <w:r w:rsidRPr="008208BC">
        <w:rPr>
          <w:rFonts w:cs="Times"/>
          <w:b/>
          <w:u w:val="single"/>
          <w:lang w:val="en-US"/>
        </w:rPr>
        <w:t>Adopt TP#1 for TS 3</w:t>
      </w:r>
      <w:r>
        <w:rPr>
          <w:rFonts w:cs="Times"/>
          <w:b/>
          <w:u w:val="single"/>
          <w:lang w:val="en-US"/>
        </w:rPr>
        <w:t>7.213.</w:t>
      </w:r>
    </w:p>
    <w:p w14:paraId="2B9A5F64" w14:textId="77777777" w:rsidR="00A50FE0" w:rsidRPr="008208BC" w:rsidRDefault="00A50FE0" w:rsidP="00A50FE0">
      <w:pPr>
        <w:spacing w:after="0"/>
        <w:jc w:val="both"/>
        <w:rPr>
          <w:rFonts w:cs="Times"/>
          <w:b/>
          <w:u w:val="single"/>
          <w:lang w:val="en-US"/>
        </w:rPr>
      </w:pPr>
      <w:r w:rsidRPr="008208BC">
        <w:rPr>
          <w:rFonts w:cs="Times"/>
          <w:b/>
          <w:u w:val="single"/>
          <w:lang w:val="en-US"/>
        </w:rPr>
        <w:t xml:space="preserve">Proposal </w:t>
      </w:r>
      <w:r>
        <w:rPr>
          <w:rFonts w:cs="Times"/>
          <w:b/>
          <w:u w:val="single"/>
          <w:lang w:val="en-US"/>
        </w:rPr>
        <w:t>3</w:t>
      </w:r>
      <w:r w:rsidRPr="008208BC">
        <w:rPr>
          <w:rFonts w:cs="Times"/>
          <w:b/>
          <w:u w:val="single"/>
          <w:lang w:val="en-US"/>
        </w:rPr>
        <w:t xml:space="preserve">: </w:t>
      </w:r>
      <w:r>
        <w:rPr>
          <w:rFonts w:cs="Times"/>
          <w:b/>
          <w:u w:val="single"/>
          <w:lang w:val="en-US"/>
        </w:rPr>
        <w:t>For T</w:t>
      </w:r>
      <w:r w:rsidRPr="008208BC">
        <w:rPr>
          <w:rFonts w:cs="Times"/>
          <w:b/>
          <w:u w:val="single"/>
          <w:lang w:val="en-US"/>
        </w:rPr>
        <w:t xml:space="preserve">DM scenario, when Type 1 channel access procedure is applied before the start of the channel occupancy simultaneously per sensing beam where each sensing beam covers a transmission beam within the channel occupancy, </w:t>
      </w:r>
      <w:r>
        <w:rPr>
          <w:rFonts w:cs="Times"/>
          <w:b/>
          <w:u w:val="single"/>
          <w:lang w:val="en-US"/>
        </w:rPr>
        <w:t xml:space="preserve">and no LBT is performed within the channel occupancy, </w:t>
      </w:r>
      <w:r w:rsidRPr="008208BC">
        <w:rPr>
          <w:rFonts w:cs="Times"/>
          <w:b/>
          <w:u w:val="single"/>
          <w:lang w:val="en-US"/>
        </w:rPr>
        <w:t>if a channel is failed to be accessed for any sensing beam, the corresponding transmission(s) is dropped during the channel occupancy.</w:t>
      </w:r>
    </w:p>
    <w:p w14:paraId="5C4A4130" w14:textId="77777777" w:rsidR="00A50FE0" w:rsidRPr="008208BC" w:rsidRDefault="00A50FE0" w:rsidP="00A50FE0">
      <w:pPr>
        <w:pStyle w:val="ListParagraph"/>
        <w:numPr>
          <w:ilvl w:val="0"/>
          <w:numId w:val="49"/>
        </w:numPr>
        <w:ind w:leftChars="0"/>
        <w:jc w:val="both"/>
        <w:rPr>
          <w:rFonts w:cs="Times"/>
          <w:b/>
          <w:u w:val="single"/>
          <w:lang w:val="en-US"/>
        </w:rPr>
      </w:pPr>
      <w:r w:rsidRPr="008208BC">
        <w:rPr>
          <w:rFonts w:cs="Times"/>
          <w:b/>
          <w:u w:val="single"/>
          <w:lang w:val="en-US"/>
        </w:rPr>
        <w:t>Adopt TP#</w:t>
      </w:r>
      <w:r>
        <w:rPr>
          <w:rFonts w:cs="Times"/>
          <w:b/>
          <w:u w:val="single"/>
          <w:lang w:val="en-US"/>
        </w:rPr>
        <w:t>2</w:t>
      </w:r>
      <w:r w:rsidRPr="008208BC">
        <w:rPr>
          <w:rFonts w:cs="Times"/>
          <w:b/>
          <w:u w:val="single"/>
          <w:lang w:val="en-US"/>
        </w:rPr>
        <w:t xml:space="preserve"> for TS 3</w:t>
      </w:r>
      <w:r>
        <w:rPr>
          <w:rFonts w:cs="Times"/>
          <w:b/>
          <w:u w:val="single"/>
          <w:lang w:val="en-US"/>
        </w:rPr>
        <w:t>7.213.</w:t>
      </w:r>
    </w:p>
    <w:p w14:paraId="1C57508F" w14:textId="77777777" w:rsidR="00A50FE0" w:rsidRDefault="00A50FE0" w:rsidP="00A50FE0">
      <w:pPr>
        <w:tabs>
          <w:tab w:val="left" w:pos="1300"/>
        </w:tabs>
        <w:spacing w:after="0"/>
        <w:jc w:val="both"/>
        <w:rPr>
          <w:b/>
          <w:u w:val="single"/>
        </w:rPr>
      </w:pPr>
      <w:r>
        <w:rPr>
          <w:b/>
          <w:u w:val="single"/>
        </w:rPr>
        <w:t xml:space="preserve">Proposal 4: For </w:t>
      </w:r>
      <w:r w:rsidRPr="00A863FA">
        <w:rPr>
          <w:b/>
          <w:u w:val="single"/>
        </w:rPr>
        <w:t>short control signal</w:t>
      </w:r>
      <w:r>
        <w:rPr>
          <w:b/>
          <w:u w:val="single"/>
        </w:rPr>
        <w:t>ling, the duty cycle calculation for UL is per UE.</w:t>
      </w:r>
    </w:p>
    <w:p w14:paraId="5CBA31B9" w14:textId="77777777" w:rsidR="00A50FE0" w:rsidRPr="000C123A" w:rsidRDefault="00A50FE0" w:rsidP="00A50FE0">
      <w:pPr>
        <w:pStyle w:val="ListParagraph"/>
        <w:numPr>
          <w:ilvl w:val="0"/>
          <w:numId w:val="49"/>
        </w:numPr>
        <w:tabs>
          <w:tab w:val="left" w:pos="1300"/>
        </w:tabs>
        <w:ind w:leftChars="0"/>
        <w:jc w:val="both"/>
        <w:rPr>
          <w:b/>
          <w:u w:val="single"/>
          <w:lang w:val="en-US"/>
        </w:rPr>
      </w:pPr>
      <w:r>
        <w:rPr>
          <w:b/>
          <w:u w:val="single"/>
          <w:lang w:val="en-US"/>
        </w:rPr>
        <w:t>No spec impact.</w:t>
      </w:r>
    </w:p>
    <w:p w14:paraId="54EF7C04" w14:textId="77777777" w:rsidR="00A50FE0" w:rsidRPr="00A50FE0" w:rsidRDefault="00A50FE0" w:rsidP="00A50FE0">
      <w:pPr>
        <w:tabs>
          <w:tab w:val="left" w:pos="1300"/>
        </w:tabs>
        <w:jc w:val="both"/>
        <w:rPr>
          <w:b/>
          <w:u w:val="single"/>
          <w:lang w:val="en-US"/>
        </w:rPr>
      </w:pPr>
      <w:r w:rsidRPr="00A50FE0">
        <w:rPr>
          <w:b/>
          <w:u w:val="single"/>
          <w:lang w:val="en-US"/>
        </w:rPr>
        <w:t>Proposal 5: Support gNB configuring a TCI-State IE in RMTC-Config for L3-RSSI measurement.</w:t>
      </w:r>
    </w:p>
    <w:p w14:paraId="71B78E81" w14:textId="77777777" w:rsidR="00267913" w:rsidRDefault="00267913" w:rsidP="00267913">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 xml:space="preserve">Appendix </w:t>
      </w:r>
    </w:p>
    <w:p w14:paraId="29E2D843" w14:textId="79580AA3" w:rsidR="00267913" w:rsidRDefault="00267913" w:rsidP="00267913">
      <w:pPr>
        <w:pStyle w:val="Heading2"/>
        <w:numPr>
          <w:ilvl w:val="0"/>
          <w:numId w:val="0"/>
        </w:numPr>
        <w:ind w:left="576" w:hanging="576"/>
        <w:rPr>
          <w:lang w:val="en-US"/>
        </w:rPr>
      </w:pPr>
      <w:r>
        <w:rPr>
          <w:lang w:val="en-US"/>
        </w:rPr>
        <w:t>TP#1 for TS 37.213</w:t>
      </w:r>
    </w:p>
    <w:p w14:paraId="7E8F3D4E" w14:textId="13B55E7D" w:rsidR="00267913" w:rsidRPr="00E95446" w:rsidRDefault="00267913" w:rsidP="00267913">
      <w:pPr>
        <w:spacing w:after="0"/>
        <w:rPr>
          <w:color w:val="FF0000"/>
          <w:lang w:val="en-US"/>
        </w:rPr>
      </w:pPr>
      <w:r w:rsidRPr="00E95446">
        <w:rPr>
          <w:color w:val="FF0000"/>
          <w:lang w:val="en-US"/>
        </w:rPr>
        <w:t>=======================</w:t>
      </w:r>
      <w:r>
        <w:rPr>
          <w:color w:val="FF0000"/>
          <w:lang w:val="en-US"/>
        </w:rPr>
        <w:t>======= Start of TP #1 for TS 37</w:t>
      </w:r>
      <w:r w:rsidRPr="00E95446">
        <w:rPr>
          <w:color w:val="FF0000"/>
          <w:lang w:val="en-US"/>
        </w:rPr>
        <w:t>.213 ==================================</w:t>
      </w:r>
    </w:p>
    <w:p w14:paraId="3C4A9E6C" w14:textId="77777777" w:rsidR="00267913" w:rsidRPr="00267913" w:rsidRDefault="00267913" w:rsidP="00267913">
      <w:pPr>
        <w:pStyle w:val="B1"/>
        <w:spacing w:before="240"/>
        <w:ind w:left="0" w:firstLine="0"/>
        <w:rPr>
          <w:rFonts w:ascii="Arial" w:hAnsi="Arial" w:cs="Arial"/>
          <w:sz w:val="32"/>
          <w:szCs w:val="32"/>
        </w:rPr>
      </w:pPr>
      <w:bookmarkStart w:id="5" w:name="_Toc90480714"/>
      <w:r w:rsidRPr="00267913">
        <w:rPr>
          <w:rFonts w:ascii="Arial" w:hAnsi="Arial" w:cs="Arial"/>
          <w:sz w:val="32"/>
          <w:szCs w:val="32"/>
        </w:rPr>
        <w:t>4.4</w:t>
      </w:r>
      <w:r w:rsidRPr="00267913">
        <w:rPr>
          <w:rFonts w:ascii="Arial" w:hAnsi="Arial" w:cs="Arial"/>
          <w:sz w:val="32"/>
          <w:szCs w:val="32"/>
        </w:rPr>
        <w:tab/>
        <w:t>Channel access procedures for frequency range 2-2</w:t>
      </w:r>
      <w:bookmarkEnd w:id="5"/>
    </w:p>
    <w:p w14:paraId="3E717830" w14:textId="77777777" w:rsidR="00267913" w:rsidRPr="00E95446" w:rsidRDefault="00267913" w:rsidP="0026791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FFAD5FF" w14:textId="77777777" w:rsidR="00267913" w:rsidRPr="00ED3A03" w:rsidRDefault="00267913" w:rsidP="00267913">
      <w:r w:rsidRPr="00ED3A03">
        <w:t>If a channel occupancy includes transmission(s) in different beams that are multiplexed in spatial domain, one of the followings is applicable for the corresponding sensing to perform the transmission(s) within the channel occupancy:</w:t>
      </w:r>
    </w:p>
    <w:p w14:paraId="54F09B6F" w14:textId="77777777" w:rsidR="00267913" w:rsidRPr="00ED3A03" w:rsidRDefault="00267913" w:rsidP="00267913">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2D87DEA5" w14:textId="1C3055EB" w:rsidR="00267913" w:rsidRPr="00ED3A03" w:rsidRDefault="00267913" w:rsidP="00267913">
      <w:pPr>
        <w:pStyle w:val="B1"/>
      </w:pPr>
      <w:r>
        <w:t>-</w:t>
      </w:r>
      <w:r>
        <w:tab/>
      </w:r>
      <w:r w:rsidRPr="00ED3A03">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ins w:id="6" w:author="Author">
        <w:r w:rsidRPr="00267913">
          <w:t>If the channel is failed to be accessed for any sensing beam, the corresponding transmission(s) is dropped during the channel occupancy</w:t>
        </w:r>
        <w:r>
          <w:t>.</w:t>
        </w:r>
      </w:ins>
    </w:p>
    <w:p w14:paraId="115650C6" w14:textId="77777777" w:rsidR="00267913" w:rsidRDefault="00267913" w:rsidP="0026791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7656A3C" w14:textId="0A577ECF" w:rsidR="00267913" w:rsidRPr="00E95446" w:rsidRDefault="00267913" w:rsidP="00267913">
      <w:pPr>
        <w:spacing w:after="0"/>
        <w:rPr>
          <w:color w:val="FF0000"/>
          <w:lang w:val="en-US"/>
        </w:rPr>
      </w:pPr>
      <w:r w:rsidRPr="00E95446">
        <w:rPr>
          <w:color w:val="FF0000"/>
          <w:lang w:val="en-US"/>
        </w:rPr>
        <w:t xml:space="preserve">============================== </w:t>
      </w:r>
      <w:r>
        <w:rPr>
          <w:color w:val="FF0000"/>
          <w:lang w:val="en-US"/>
        </w:rPr>
        <w:t>End</w:t>
      </w:r>
      <w:r w:rsidR="00311DF3">
        <w:rPr>
          <w:color w:val="FF0000"/>
          <w:lang w:val="en-US"/>
        </w:rPr>
        <w:t xml:space="preserve"> of TP #1 for TS 37</w:t>
      </w:r>
      <w:r w:rsidRPr="00E95446">
        <w:rPr>
          <w:color w:val="FF0000"/>
          <w:lang w:val="en-US"/>
        </w:rPr>
        <w:t>.213 ==================================</w:t>
      </w:r>
    </w:p>
    <w:p w14:paraId="45C689A8" w14:textId="538FB644" w:rsidR="00F34076" w:rsidRDefault="00F34076" w:rsidP="00786192">
      <w:pPr>
        <w:rPr>
          <w:lang w:val="en-US" w:eastAsia="ja-JP"/>
        </w:rPr>
      </w:pPr>
    </w:p>
    <w:p w14:paraId="5C4FF841" w14:textId="36DCC951" w:rsidR="00311DF3" w:rsidRDefault="00311DF3" w:rsidP="00311DF3">
      <w:pPr>
        <w:pStyle w:val="Heading2"/>
        <w:numPr>
          <w:ilvl w:val="0"/>
          <w:numId w:val="0"/>
        </w:numPr>
        <w:ind w:left="576" w:hanging="576"/>
        <w:rPr>
          <w:lang w:val="en-US"/>
        </w:rPr>
      </w:pPr>
      <w:r>
        <w:rPr>
          <w:lang w:val="en-US"/>
        </w:rPr>
        <w:t>TP#2 for TS 37.213</w:t>
      </w:r>
    </w:p>
    <w:p w14:paraId="02F3BD8B" w14:textId="30EE199B" w:rsidR="00311DF3" w:rsidRPr="00E95446" w:rsidRDefault="00311DF3" w:rsidP="00311DF3">
      <w:pPr>
        <w:spacing w:after="0"/>
        <w:rPr>
          <w:color w:val="FF0000"/>
          <w:lang w:val="en-US"/>
        </w:rPr>
      </w:pPr>
      <w:r w:rsidRPr="00E95446">
        <w:rPr>
          <w:color w:val="FF0000"/>
          <w:lang w:val="en-US"/>
        </w:rPr>
        <w:t>=======================</w:t>
      </w:r>
      <w:r>
        <w:rPr>
          <w:color w:val="FF0000"/>
          <w:lang w:val="en-US"/>
        </w:rPr>
        <w:t>======= Start of TP #2 for TS 37</w:t>
      </w:r>
      <w:r w:rsidRPr="00E95446">
        <w:rPr>
          <w:color w:val="FF0000"/>
          <w:lang w:val="en-US"/>
        </w:rPr>
        <w:t>.213 ==================================</w:t>
      </w:r>
    </w:p>
    <w:p w14:paraId="5BBB2E7F" w14:textId="77777777" w:rsidR="00311DF3" w:rsidRPr="00267913" w:rsidRDefault="00311DF3" w:rsidP="00311DF3">
      <w:pPr>
        <w:pStyle w:val="B1"/>
        <w:spacing w:before="240"/>
        <w:ind w:left="0" w:firstLine="0"/>
        <w:rPr>
          <w:rFonts w:ascii="Arial" w:hAnsi="Arial" w:cs="Arial"/>
          <w:sz w:val="32"/>
          <w:szCs w:val="32"/>
        </w:rPr>
      </w:pPr>
      <w:r w:rsidRPr="00267913">
        <w:rPr>
          <w:rFonts w:ascii="Arial" w:hAnsi="Arial" w:cs="Arial"/>
          <w:sz w:val="32"/>
          <w:szCs w:val="32"/>
        </w:rPr>
        <w:t>4.4</w:t>
      </w:r>
      <w:r w:rsidRPr="00267913">
        <w:rPr>
          <w:rFonts w:ascii="Arial" w:hAnsi="Arial" w:cs="Arial"/>
          <w:sz w:val="32"/>
          <w:szCs w:val="32"/>
        </w:rPr>
        <w:tab/>
        <w:t>Channel access procedures for frequency range 2-2</w:t>
      </w:r>
    </w:p>
    <w:p w14:paraId="36F3B666" w14:textId="77777777" w:rsidR="00311DF3" w:rsidRPr="00E95446" w:rsidRDefault="00311DF3" w:rsidP="00311DF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93D92C1" w14:textId="77777777" w:rsidR="00311DF3" w:rsidRPr="00ED3A03" w:rsidRDefault="00311DF3" w:rsidP="00311DF3">
      <w:r w:rsidRPr="00ED3A03">
        <w:t>If a channel occupancy includes transmissions in different beams that are multiplexed in time domain, one of the followings is applicable for the corresponding sensing to perform the transmissions within the channel occupancy:</w:t>
      </w:r>
    </w:p>
    <w:p w14:paraId="6A33B653" w14:textId="77777777" w:rsidR="00311DF3" w:rsidRPr="00ED3A03" w:rsidRDefault="00311DF3" w:rsidP="00311DF3">
      <w:pPr>
        <w:pStyle w:val="B1"/>
      </w:pPr>
      <w:r>
        <w:t>-</w:t>
      </w:r>
      <w:r>
        <w:tab/>
      </w:r>
      <w:r w:rsidRPr="00ED3A03">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ED3A03">
        <w:rPr>
          <w:lang w:val="en-US" w:eastAsia="x-none"/>
        </w:rPr>
        <w:t>following the procedures described in Clause 4.4.3</w:t>
      </w:r>
      <w:r w:rsidRPr="00ED3A03">
        <w:t>.</w:t>
      </w:r>
    </w:p>
    <w:p w14:paraId="5CE6818A" w14:textId="19CA7310" w:rsidR="00311DF3" w:rsidRDefault="00311DF3" w:rsidP="00311DF3">
      <w:pPr>
        <w:pStyle w:val="B1"/>
        <w:rPr>
          <w:ins w:id="7" w:author="Author"/>
        </w:rPr>
      </w:pPr>
      <w:r>
        <w:t>-</w:t>
      </w:r>
      <w:r>
        <w:tab/>
      </w:r>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sidRPr="00ED3A03">
        <w:rPr>
          <w:lang w:val="en-US" w:eastAsia="x-none"/>
        </w:rPr>
        <w:t>following the procedures described in Clause 4.4.3</w:t>
      </w:r>
      <w:r w:rsidRPr="00ED3A03">
        <w:t xml:space="preserve">. </w:t>
      </w:r>
      <w:ins w:id="8" w:author="Author">
        <w:r w:rsidRPr="00267913">
          <w:t>If the channel is failed to be accessed for any sensing beam, the corresponding transmission(s) is dropped during the channel occupancy</w:t>
        </w:r>
        <w:r>
          <w:t>, and the following are applicable to the transmission(s) after the dropped transmission(s):</w:t>
        </w:r>
      </w:ins>
    </w:p>
    <w:p w14:paraId="06ACE011" w14:textId="0B95EBB5" w:rsidR="00311DF3" w:rsidRDefault="00311DF3">
      <w:pPr>
        <w:pStyle w:val="B1"/>
        <w:ind w:left="1170" w:hanging="270"/>
        <w:jc w:val="both"/>
        <w:rPr>
          <w:ins w:id="9" w:author="Author"/>
        </w:rPr>
        <w:pPrChange w:id="10" w:author="Author">
          <w:pPr>
            <w:pStyle w:val="B1"/>
          </w:pPr>
        </w:pPrChange>
      </w:pPr>
      <w:ins w:id="11" w:author="Author">
        <w:r>
          <w:t xml:space="preserve">-  regardless of the duration of the gap, the </w:t>
        </w:r>
        <w:r w:rsidR="006D17CD">
          <w:t xml:space="preserve">transmission(s) after the dropped transmission(s) occurs following the procedures </w:t>
        </w:r>
        <w:r w:rsidR="006D17CD" w:rsidRPr="00ED3A03">
          <w:rPr>
            <w:lang w:val="en-US" w:eastAsia="x-none"/>
          </w:rPr>
          <w:t>described in Clause 4.4.3</w:t>
        </w:r>
        <w:r w:rsidR="006D17CD">
          <w:t xml:space="preserve">, or </w:t>
        </w:r>
      </w:ins>
    </w:p>
    <w:p w14:paraId="704BD9D5" w14:textId="7CDD6112" w:rsidR="006D17CD" w:rsidRPr="00ED3A03" w:rsidRDefault="006D17CD">
      <w:pPr>
        <w:pStyle w:val="B1"/>
        <w:ind w:left="1170" w:hanging="270"/>
        <w:jc w:val="both"/>
        <w:pPrChange w:id="12" w:author="Author">
          <w:pPr>
            <w:pStyle w:val="B1"/>
          </w:pPr>
        </w:pPrChange>
      </w:pPr>
      <w:ins w:id="13" w:author="Author">
        <w:r>
          <w:t xml:space="preserve">-  if the gap is more than a threshold that is determined by the gNB and is at least 8 us, the transmission(s) after the dropped transmission(s) occurs following the procedures </w:t>
        </w:r>
        <w:r w:rsidRPr="00ED3A03">
          <w:rPr>
            <w:lang w:val="en-US" w:eastAsia="x-none"/>
          </w:rPr>
          <w:t>described in Clause 4.4.</w:t>
        </w:r>
        <w:r>
          <w:rPr>
            <w:lang w:val="en-US" w:eastAsia="x-none"/>
          </w:rPr>
          <w:t>2</w:t>
        </w:r>
        <w:r>
          <w:t xml:space="preserve">; otherwise, the transmission(s) after the dropped transmission(s) occurs following the procedures </w:t>
        </w:r>
        <w:r w:rsidRPr="00ED3A03">
          <w:rPr>
            <w:lang w:val="en-US" w:eastAsia="x-none"/>
          </w:rPr>
          <w:t>described in Clause 4.4.3</w:t>
        </w:r>
        <w:r>
          <w:t>.</w:t>
        </w:r>
      </w:ins>
    </w:p>
    <w:p w14:paraId="120480D9" w14:textId="06B208A7" w:rsidR="00311DF3" w:rsidRPr="00ED3A03" w:rsidRDefault="00311DF3">
      <w:pPr>
        <w:ind w:left="540" w:hanging="270"/>
        <w:pPrChange w:id="14" w:author="Author">
          <w:pPr/>
        </w:pPrChange>
      </w:pPr>
      <w:ins w:id="15" w:author="Author">
        <w:r>
          <w:t xml:space="preserve">-  </w:t>
        </w:r>
      </w:ins>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w:t>
      </w:r>
      <w:r w:rsidRPr="00ED3A03">
        <w:lastRenderedPageBreak/>
        <w:t>transmission within the channel occupancy can occur following the procedures in Clause 4.4.2 before switching to a different beam within the channel occupancy.</w:t>
      </w:r>
    </w:p>
    <w:p w14:paraId="6332B5EF" w14:textId="77777777" w:rsidR="00311DF3" w:rsidRDefault="00311DF3" w:rsidP="00311DF3">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B7A819E" w14:textId="2853991B" w:rsidR="00311DF3" w:rsidRPr="00E95446" w:rsidRDefault="00311DF3" w:rsidP="00311DF3">
      <w:pPr>
        <w:spacing w:after="0"/>
        <w:rPr>
          <w:color w:val="FF0000"/>
          <w:lang w:val="en-US"/>
        </w:rPr>
      </w:pPr>
      <w:r w:rsidRPr="00E95446">
        <w:rPr>
          <w:color w:val="FF0000"/>
          <w:lang w:val="en-US"/>
        </w:rPr>
        <w:t xml:space="preserve">============================== </w:t>
      </w:r>
      <w:r>
        <w:rPr>
          <w:color w:val="FF0000"/>
          <w:lang w:val="en-US"/>
        </w:rPr>
        <w:t>End of TP #2 for TS 37</w:t>
      </w:r>
      <w:r w:rsidRPr="00E95446">
        <w:rPr>
          <w:color w:val="FF0000"/>
          <w:lang w:val="en-US"/>
        </w:rPr>
        <w:t>.213 ==================================</w:t>
      </w:r>
    </w:p>
    <w:p w14:paraId="4B5022B3" w14:textId="77777777" w:rsidR="00311DF3" w:rsidRDefault="00311DF3" w:rsidP="00786192">
      <w:pPr>
        <w:rPr>
          <w:lang w:val="en-US" w:eastAsia="ja-JP"/>
        </w:rPr>
      </w:pPr>
    </w:p>
    <w:sectPr w:rsidR="00311DF3"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5C8FB" w14:textId="77777777" w:rsidR="00C12BAF" w:rsidRDefault="00C12BAF" w:rsidP="00083046">
      <w:r>
        <w:separator/>
      </w:r>
    </w:p>
  </w:endnote>
  <w:endnote w:type="continuationSeparator" w:id="0">
    <w:p w14:paraId="4CC07624" w14:textId="77777777" w:rsidR="00C12BAF" w:rsidRDefault="00C12BA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404A9" w14:textId="77777777" w:rsidR="00C12BAF" w:rsidRDefault="00C12BAF" w:rsidP="00083046">
      <w:r>
        <w:separator/>
      </w:r>
    </w:p>
  </w:footnote>
  <w:footnote w:type="continuationSeparator" w:id="0">
    <w:p w14:paraId="04855AE7" w14:textId="77777777" w:rsidR="00C12BAF" w:rsidRDefault="00C12BA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802"/>
    <w:multiLevelType w:val="hybridMultilevel"/>
    <w:tmpl w:val="C47AF1E2"/>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963DD4"/>
    <w:multiLevelType w:val="hybridMultilevel"/>
    <w:tmpl w:val="A48A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E76912"/>
    <w:multiLevelType w:val="hybridMultilevel"/>
    <w:tmpl w:val="54BA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24134"/>
    <w:multiLevelType w:val="hybridMultilevel"/>
    <w:tmpl w:val="310A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DB013D"/>
    <w:multiLevelType w:val="hybridMultilevel"/>
    <w:tmpl w:val="BEDA3E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7F3C32"/>
    <w:multiLevelType w:val="hybridMultilevel"/>
    <w:tmpl w:val="861A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31"/>
  </w:num>
  <w:num w:numId="4">
    <w:abstractNumId w:val="43"/>
  </w:num>
  <w:num w:numId="5">
    <w:abstractNumId w:val="24"/>
  </w:num>
  <w:num w:numId="6">
    <w:abstractNumId w:val="48"/>
  </w:num>
  <w:num w:numId="7">
    <w:abstractNumId w:val="27"/>
  </w:num>
  <w:num w:numId="8">
    <w:abstractNumId w:val="45"/>
  </w:num>
  <w:num w:numId="9">
    <w:abstractNumId w:val="0"/>
    <w:lvlOverride w:ilvl="0">
      <w:startOverride w:val="1"/>
    </w:lvlOverride>
  </w:num>
  <w:num w:numId="10">
    <w:abstractNumId w:val="36"/>
  </w:num>
  <w:num w:numId="11">
    <w:abstractNumId w:val="26"/>
  </w:num>
  <w:num w:numId="12">
    <w:abstractNumId w:val="10"/>
  </w:num>
  <w:num w:numId="13">
    <w:abstractNumId w:val="29"/>
  </w:num>
  <w:num w:numId="14">
    <w:abstractNumId w:val="39"/>
  </w:num>
  <w:num w:numId="15">
    <w:abstractNumId w:val="9"/>
  </w:num>
  <w:num w:numId="16">
    <w:abstractNumId w:val="38"/>
  </w:num>
  <w:num w:numId="17">
    <w:abstractNumId w:val="41"/>
  </w:num>
  <w:num w:numId="18">
    <w:abstractNumId w:val="12"/>
  </w:num>
  <w:num w:numId="19">
    <w:abstractNumId w:val="15"/>
  </w:num>
  <w:num w:numId="20">
    <w:abstractNumId w:val="30"/>
  </w:num>
  <w:num w:numId="21">
    <w:abstractNumId w:val="20"/>
  </w:num>
  <w:num w:numId="22">
    <w:abstractNumId w:val="32"/>
  </w:num>
  <w:num w:numId="23">
    <w:abstractNumId w:val="37"/>
  </w:num>
  <w:num w:numId="24">
    <w:abstractNumId w:val="13"/>
  </w:num>
  <w:num w:numId="25">
    <w:abstractNumId w:val="2"/>
  </w:num>
  <w:num w:numId="26">
    <w:abstractNumId w:val="21"/>
  </w:num>
  <w:num w:numId="27">
    <w:abstractNumId w:val="40"/>
  </w:num>
  <w:num w:numId="28">
    <w:abstractNumId w:val="19"/>
  </w:num>
  <w:num w:numId="29">
    <w:abstractNumId w:val="1"/>
  </w:num>
  <w:num w:numId="30">
    <w:abstractNumId w:val="18"/>
  </w:num>
  <w:num w:numId="31">
    <w:abstractNumId w:val="46"/>
  </w:num>
  <w:num w:numId="32">
    <w:abstractNumId w:val="49"/>
  </w:num>
  <w:num w:numId="33">
    <w:abstractNumId w:val="7"/>
  </w:num>
  <w:num w:numId="34">
    <w:abstractNumId w:val="23"/>
  </w:num>
  <w:num w:numId="35">
    <w:abstractNumId w:val="35"/>
  </w:num>
  <w:num w:numId="36">
    <w:abstractNumId w:val="4"/>
  </w:num>
  <w:num w:numId="37">
    <w:abstractNumId w:val="28"/>
  </w:num>
  <w:num w:numId="38">
    <w:abstractNumId w:val="33"/>
  </w:num>
  <w:num w:numId="39">
    <w:abstractNumId w:val="42"/>
  </w:num>
  <w:num w:numId="40">
    <w:abstractNumId w:val="6"/>
  </w:num>
  <w:num w:numId="41">
    <w:abstractNumId w:val="34"/>
  </w:num>
  <w:num w:numId="42">
    <w:abstractNumId w:val="8"/>
  </w:num>
  <w:num w:numId="43">
    <w:abstractNumId w:val="14"/>
  </w:num>
  <w:num w:numId="44">
    <w:abstractNumId w:val="16"/>
  </w:num>
  <w:num w:numId="45">
    <w:abstractNumId w:val="5"/>
  </w:num>
  <w:num w:numId="46">
    <w:abstractNumId w:val="44"/>
  </w:num>
  <w:num w:numId="47">
    <w:abstractNumId w:val="47"/>
  </w:num>
  <w:num w:numId="48">
    <w:abstractNumId w:val="3"/>
  </w:num>
  <w:num w:numId="49">
    <w:abstractNumId w:val="22"/>
  </w:num>
  <w:num w:numId="5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68F"/>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23A"/>
    <w:rsid w:val="000C14C1"/>
    <w:rsid w:val="000C2DAC"/>
    <w:rsid w:val="000C3A4B"/>
    <w:rsid w:val="000C3BE1"/>
    <w:rsid w:val="000C521E"/>
    <w:rsid w:val="000C56CE"/>
    <w:rsid w:val="000C6075"/>
    <w:rsid w:val="000C650F"/>
    <w:rsid w:val="000C66FC"/>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9E9"/>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598"/>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3FB3"/>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1A8E"/>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68AB"/>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3E4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CA"/>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34B"/>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13"/>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F03"/>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DF3"/>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3"/>
    <w:rsid w:val="003958CA"/>
    <w:rsid w:val="00395913"/>
    <w:rsid w:val="0039593B"/>
    <w:rsid w:val="00395E02"/>
    <w:rsid w:val="00395E89"/>
    <w:rsid w:val="00396217"/>
    <w:rsid w:val="003965FC"/>
    <w:rsid w:val="003969FF"/>
    <w:rsid w:val="003975AC"/>
    <w:rsid w:val="00397FC6"/>
    <w:rsid w:val="003A087F"/>
    <w:rsid w:val="003A0A80"/>
    <w:rsid w:val="003A1310"/>
    <w:rsid w:val="003A170E"/>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F5A"/>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091"/>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5C62"/>
    <w:rsid w:val="004B65FB"/>
    <w:rsid w:val="004B787D"/>
    <w:rsid w:val="004C0799"/>
    <w:rsid w:val="004C1AC1"/>
    <w:rsid w:val="004C2115"/>
    <w:rsid w:val="004C25AA"/>
    <w:rsid w:val="004C3070"/>
    <w:rsid w:val="004C3628"/>
    <w:rsid w:val="004C3A5F"/>
    <w:rsid w:val="004C407C"/>
    <w:rsid w:val="004C4315"/>
    <w:rsid w:val="004C48A5"/>
    <w:rsid w:val="004C4D71"/>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43DE"/>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474"/>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1986"/>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1A"/>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CD"/>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29"/>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2FB6"/>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BC"/>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2BD0"/>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AC4"/>
    <w:rsid w:val="008C4BC9"/>
    <w:rsid w:val="008C4D06"/>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EDF"/>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60DC"/>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1DE7"/>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0FE0"/>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475"/>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630"/>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760"/>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DFE"/>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BAF"/>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22A1"/>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24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1DC"/>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732"/>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501"/>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2B9"/>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9EF"/>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034"/>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64D"/>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E5C"/>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 w:type="paragraph" w:customStyle="1" w:styleId="textintend1">
    <w:name w:val="text intend 1"/>
    <w:basedOn w:val="Normal"/>
    <w:rsid w:val="00267913"/>
    <w:pPr>
      <w:numPr>
        <w:numId w:val="50"/>
      </w:numPr>
      <w:overflowPunct w:val="0"/>
      <w:autoSpaceDE w:val="0"/>
      <w:autoSpaceDN w:val="0"/>
      <w:adjustRightInd w:val="0"/>
      <w:spacing w:after="120"/>
      <w:jc w:val="both"/>
      <w:textAlignment w:val="baseline"/>
    </w:pPr>
    <w:rPr>
      <w:rFonts w:eastAsia="MS Minch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93661-BD0B-4A95-A136-69461B59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2022-01-07T21:06:00Z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